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/>
          <w:bCs/>
        </w:rPr>
        <w:t xml:space="preserve">Протокол подведения итогов определения поставщика (подрядчика, исполнителя) № 0190200000324015849</w:t>
      </w:r>
      <w:r/>
    </w:p>
    <w:p>
      <w:r/>
      <w:r/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20.12.2024г.</w:t>
      </w:r>
      <w:r/>
    </w:p>
    <w:p>
      <w:r/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Способ определения поставщика (подрядчика, исполнителя): Электронный аукцион</w:t>
      </w:r>
      <w:r/>
    </w:p>
    <w:p>
      <w:pPr>
        <w:numPr>
          <w:ilvl w:val="0"/>
          <w:numId w:val="1"/>
        </w:numPr>
        <w:keepLines/>
        <w:spacing w:after="96"/>
      </w:pPr>
      <w:r>
        <w:t xml:space="preserve">Номер извещения об осуществлении закупки: 0190200000324015849</w:t>
      </w:r>
      <w:r/>
    </w:p>
    <w:p>
      <w:pPr>
        <w:numPr>
          <w:ilvl w:val="0"/>
          <w:numId w:val="1"/>
        </w:numPr>
        <w:keepLines/>
        <w:spacing w:after="96"/>
      </w:pPr>
      <w:r>
        <w:t xml:space="preserve">Определение поставщика (подрядчика, исполнителя) осуществляет:</w:t>
      </w:r>
      <w:r/>
    </w:p>
    <w:p>
      <w:pPr>
        <w:jc w:val="both"/>
      </w:pPr>
      <w:r>
        <w:t xml:space="preserve">ДЕПАРТАМЕНТ ГОСУДАРСТВЕННОГО ЗАКАЗА ЯМАЛО-НЕНЕЦКОГО АВТОНОМНОГО ОКРУГА</w:t>
      </w:r>
      <w:r/>
    </w:p>
    <w:p>
      <w:r/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Заказчик(и):</w:t>
      </w:r>
      <w:r/>
    </w:p>
    <w:p>
      <w:pPr>
        <w:jc w:val="both"/>
      </w:pPr>
      <w:r>
        <w:t xml:space="preserve">ГОСУДАРСТВЕННОЕ БЮДЖЕТНОЕ УЧРЕЖДЕНИЕ ЗДРАВООХРАНЕНИЯ ЯМАЛО-НЕНЕЦКОГО АВТОНОМНОГО ОКРУГА "ЛАБЫТНАНГСКАЯ ГОРОДСКАЯ БОЛЬНИЦА"</w:t>
      </w:r>
      <w:r/>
    </w:p>
    <w:p>
      <w:r/>
      <w:r/>
    </w:p>
    <w:p>
      <w:pPr>
        <w:numPr>
          <w:ilvl w:val="0"/>
          <w:numId w:val="1"/>
        </w:numPr>
        <w:keepLines/>
        <w:spacing w:after="96"/>
      </w:pPr>
      <w:r>
        <w:t xml:space="preserve">Идентификационный код закупки: 242890200263589020100101500011920244</w:t>
      </w:r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Наименование объекта закупки: Поставка бензина и дизельного топлива через АЗС.</w:t>
      </w:r>
      <w:r/>
    </w:p>
    <w:p>
      <w:pPr>
        <w:numPr>
          <w:ilvl w:val="0"/>
          <w:numId w:val="1"/>
        </w:numPr>
        <w:keepLines/>
        <w:spacing w:after="96"/>
      </w:pPr>
      <w:r>
        <w:t xml:space="preserve">Начальная (максимальная) цена контракта: 3 387 880,00 руб.</w:t>
      </w:r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Извещение об осуществлении закупки размещено «10» декабря 2024г.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  <w:r/>
    </w:p>
    <w:p>
      <w:pPr>
        <w:numPr>
          <w:ilvl w:val="0"/>
          <w:numId w:val="1"/>
        </w:numPr>
        <w:keepLines/>
        <w:spacing w:after="96"/>
      </w:pPr>
      <w:r>
        <w:t xml:space="preserve">На заседании комиссии по осуществлению закупок присутствовали:</w:t>
      </w:r>
      <w:r/>
    </w:p>
    <w:tbl>
      <w:tblPr>
        <w:tblStyle w:val="622"/>
        <w:tblLook w:val="04A0" w:firstRow="1" w:lastRow="0" w:firstColumn="1" w:lastColumn="0" w:noHBand="0" w:noVBand="1"/>
      </w:tblPr>
      <w:tblGrid>
        <w:gridCol w:w="6000"/>
        <w:gridCol w:w="3050"/>
        <w:gridCol w:w="1500"/>
      </w:tblGrid>
      <w:tr>
        <w:trPr/>
        <w:tc>
          <w:tcPr>
            <w:tcW w:w="6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Состав комиссии по осуществлению закупок</w:t>
            </w:r>
            <w:r/>
          </w:p>
        </w:tc>
        <w:tc>
          <w:tcPr>
            <w:tcW w:w="30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Роль</w:t>
            </w:r>
            <w:r/>
          </w:p>
        </w:tc>
        <w:tc>
          <w:tcPr>
            <w:tcW w:w="15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Право голоса</w:t>
            </w:r>
            <w:r/>
          </w:p>
        </w:tc>
      </w:tr>
      <w:tr>
        <w:trPr/>
        <w:tc>
          <w:tcPr>
            <w:tcW w:w="6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Липихина Ольга Владимировна</w:t>
            </w:r>
            <w:r/>
          </w:p>
        </w:tc>
        <w:tc>
          <w:tcPr>
            <w:tcW w:w="30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Член комиссии</w:t>
            </w:r>
            <w:r/>
          </w:p>
        </w:tc>
        <w:tc>
          <w:tcPr>
            <w:tcW w:w="15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Да</w:t>
            </w:r>
            <w:r/>
          </w:p>
        </w:tc>
      </w:tr>
      <w:tr>
        <w:trPr/>
        <w:tc>
          <w:tcPr>
            <w:tcW w:w="6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Вордатова Лидия Сергеевна</w:t>
            </w:r>
            <w:r/>
          </w:p>
        </w:tc>
        <w:tc>
          <w:tcPr>
            <w:tcW w:w="30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Член комиссии</w:t>
            </w:r>
            <w:r/>
          </w:p>
        </w:tc>
        <w:tc>
          <w:tcPr>
            <w:tcW w:w="15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Да</w:t>
            </w:r>
            <w:r/>
          </w:p>
        </w:tc>
      </w:tr>
      <w:tr>
        <w:trPr/>
        <w:tc>
          <w:tcPr>
            <w:tcW w:w="60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ПОБЕРЕЖНЫЙ СЕРГЕЙ БОРИСОВИЧ</w:t>
            </w:r>
            <w:r/>
          </w:p>
        </w:tc>
        <w:tc>
          <w:tcPr>
            <w:tcW w:w="30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Председатель комиссии</w:t>
            </w:r>
            <w:r/>
          </w:p>
        </w:tc>
        <w:tc>
          <w:tcPr>
            <w:tcW w:w="15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Да</w:t>
            </w:r>
            <w:r/>
          </w:p>
        </w:tc>
      </w:tr>
    </w:tbl>
    <w:p>
      <w:r/>
      <w:r/>
    </w:p>
    <w:p>
      <w:r>
        <w:t xml:space="preserve">Комиссия правомочна осуществлять свои функции, в заседании комиссии участвовало не менее чем пятьдесят процентов общего числа ее членов.</w:t>
      </w:r>
      <w:r/>
    </w:p>
    <w:p>
      <w:r/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В связи с тем, что по окончании срока подачи заявок на участие в эле</w:t>
      </w:r>
      <w:r>
        <w:t xml:space="preserve">ктронном аукционе была подана только одна заявка на участие в нем, на основании пункта 1 части 1 статьи 52 Федерального закона от 05 апреля 2013 г. № 44-ФЗ (далее - Закон № 44-ФЗ), определение поставщика (подрядчика, исполнителя) признается несостоявшимся.</w:t>
      </w:r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Члены комиссии по осуществлению закупок рассмотрели информацию и документы, направленные оператором электронной площадки в соответствии с п.1 ч.2 ст.52 Закон № 44-ФЗ, и приняли решение:</w:t>
      </w:r>
      <w:r/>
    </w:p>
    <w:tbl>
      <w:tblPr>
        <w:tblStyle w:val="623"/>
        <w:tblLook w:val="04A0" w:firstRow="1" w:lastRow="0" w:firstColumn="1" w:lastColumn="0" w:noHBand="0" w:noVBand="1"/>
      </w:tblPr>
      <w:tblGrid>
        <w:gridCol w:w="1350"/>
        <w:gridCol w:w="1350"/>
        <w:gridCol w:w="3350"/>
        <w:gridCol w:w="2250"/>
        <w:gridCol w:w="2250"/>
      </w:tblGrid>
      <w:tr>
        <w:trPr/>
        <w:tc>
          <w:tcP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Идентификационный номер заявки, присвоенный оператором электронной площадки</w:t>
            </w:r>
            <w:r/>
          </w:p>
        </w:tc>
        <w:tc>
          <w:tcPr>
            <w:tcW w:w="1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Порядковый номер заявки, присвоенный оператором электронной площадки</w:t>
            </w:r>
            <w:r/>
          </w:p>
        </w:tc>
        <w:tc>
          <w:tcPr>
            <w:tcW w:w="33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Член комиссии по осуществлению закупок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Решение члена комиссии по осуществлению закупок</w:t>
            </w:r>
            <w:r/>
          </w:p>
        </w:tc>
      </w:tr>
      <w:tr>
        <w:trPr/>
        <w:tc>
          <w:tcPr>
            <w:tcW w:w="1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1421988</w:t>
            </w:r>
            <w:r/>
          </w:p>
        </w:tc>
        <w:tc>
          <w:tcPr>
            <w:tcW w:w="1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3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Вордатова Лидия Сергеевна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</w:tr>
      <w:tr>
        <w:trPr/>
        <w:tc>
          <w:tcPr>
            <w:tcW w:w="1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1421988</w:t>
            </w:r>
            <w:r/>
          </w:p>
        </w:tc>
        <w:tc>
          <w:tcPr>
            <w:tcW w:w="1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3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ПОБЕРЕЖНЫЙ СЕРГЕЙ БОРИСОВИЧ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</w:tr>
      <w:tr>
        <w:trPr/>
        <w:tc>
          <w:tcPr>
            <w:tcW w:w="1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1421988</w:t>
            </w:r>
            <w:r/>
          </w:p>
        </w:tc>
        <w:tc>
          <w:tcPr>
            <w:tcW w:w="1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33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Липихина Ольга Владимировна</w:t>
            </w:r>
            <w:r/>
          </w:p>
        </w:tc>
        <w:tc>
          <w:tcPr>
            <w:tcW w:w="22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Признать заявку соответствующей извещению об осуществлении закупки. </w:t>
            </w:r>
            <w:r/>
          </w:p>
        </w:tc>
      </w:tr>
    </w:tbl>
    <w:p>
      <w:r/>
      <w:r/>
    </w:p>
    <w:p>
      <w:pPr>
        <w:numPr>
          <w:ilvl w:val="0"/>
          <w:numId w:val="1"/>
        </w:numPr>
        <w:keepLines/>
        <w:spacing w:after="96"/>
      </w:pPr>
      <w:r>
        <w:t xml:space="preserve">На основании результатов рассмотрения заявки участника, члены комиссии присвоили порядковый номер:</w:t>
      </w:r>
      <w:r/>
    </w:p>
    <w:tbl>
      <w:tblPr>
        <w:tblStyle w:val="624"/>
        <w:tblLook w:val="04A0" w:firstRow="1" w:lastRow="0" w:firstColumn="1" w:lastColumn="0" w:noHBand="0" w:noVBand="1"/>
      </w:tblPr>
      <w:tblGrid>
        <w:gridCol w:w="2100"/>
        <w:gridCol w:w="2100"/>
        <w:gridCol w:w="3200"/>
        <w:gridCol w:w="3150"/>
      </w:tblGrid>
      <w:tr>
        <w:trPr/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Порядковый номер, присвоенный комиссией</w:t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Идентификационный номер заявки</w:t>
            </w:r>
            <w:r/>
          </w:p>
        </w:tc>
        <w:tc>
          <w:tcPr>
            <w:tcW w:w="32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Дата и время подачи заявки</w:t>
            </w:r>
            <w:r/>
          </w:p>
        </w:tc>
        <w:tc>
          <w:tcPr>
            <w:tcW w:w="31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</w:rPr>
              <w:t xml:space="preserve">Начальная максимальная цена контракта, руб</w:t>
            </w:r>
            <w:r/>
          </w:p>
        </w:tc>
      </w:tr>
      <w:tr>
        <w:trPr/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1421988</w:t>
            </w:r>
            <w:r/>
          </w:p>
        </w:tc>
        <w:tc>
          <w:tcPr>
            <w:tcW w:w="320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18.12.2024 00:29:45 (MCK +2)</w:t>
            </w:r>
            <w:r/>
          </w:p>
        </w:tc>
        <w:tc>
          <w:tcPr>
            <w:tcW w:w="31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3 387 880,00</w:t>
            </w:r>
            <w:r/>
          </w:p>
        </w:tc>
      </w:tr>
    </w:tbl>
    <w:p>
      <w:r/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По результатам подведения итогов определения поставщика (подрядчика, исполнителя) контракт заключается с участником закупки с идентификационным</w:t>
      </w:r>
      <w:r>
        <w:t xml:space="preserve"> номером № 1421988  в соо</w:t>
      </w:r>
      <w:r>
        <w:t xml:space="preserve">тветствии с п. 25 ч. 1 ст. 93 Федерального закона №44-ФЗ в порядке, установленном настоящим Федеральным Законом.</w:t>
      </w:r>
      <w:r/>
    </w:p>
    <w:p>
      <w:pPr>
        <w:numPr>
          <w:ilvl w:val="0"/>
          <w:numId w:val="1"/>
        </w:numPr>
        <w:jc w:val="both"/>
        <w:keepLines/>
        <w:spacing w:after="96"/>
      </w:pPr>
      <w:r>
        <w:t xml:space="preserve">Настоящий протокол сформирован с использованием электронной площадки АО «ЕЭТП», подписан усиленным</w:t>
      </w:r>
      <w:r>
        <w:t xml:space="preserve">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  <w:r/>
    </w:p>
    <w:sectPr>
      <w:footnotePr/>
      <w:endnotePr/>
      <w:type w:val="nextPage"/>
      <w:pgSz w:w="11905" w:h="16837" w:orient="portrait"/>
      <w:pgMar w:top="566" w:right="566" w:bottom="566" w:left="850" w:header="720" w:footer="720" w:gutter="0"/>
      <w:cols w:num="1" w:sep="0" w:space="720" w:equalWidth="1"/>
      <w:docGrid w:linePitch="36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17973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Липихина Ольга Владимировна, ДЕПАРТАМЕНТ ГОСУДАРСТВЕННОГО ЗАКАЗА ЯМАЛО-НЕНЕЦКОГО АВТОНОМНОГО ОКРУГА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C3EA2433AC40CF54CC1D6460D7D9A5A, Действителен с 20.03.2024 по 13.06.2025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23.12.2024 08:38:49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Председатель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ПОБЕРЕЖНЫЙ СЕРГЕЙ БОРИСОВИЧ, ДЕПАРТАМЕНТ ГОСУДАРСТВЕННОГО ЗАКАЗА ЯМАЛО-НЕНЕЦКОГО АВТОНОМНОГО ОКРУГА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CAA495008D22D0344C4D03CA36387A6, Действителен с 27.05.2024 по 20.08.2025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23.12.2024 09:28:49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Вордатова Лидия Сергеевна, ГОСУДАРСТВЕННОЕ БЮДЖЕТНОЕ УЧРЕЖДЕНИЕ ЗДРАВООХРАНЕНИЯ ЯМАЛО-НЕНЕЦКОГО АВТОНОМНОГО ОКРУГА "ЛАБЫТНАНГСКАЯ ГОРОДСКАЯ БОЛЬНИЦА"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2EA33C56FD4421C0405F19AC4C32A744, Действителен с 11.11.2024 по 04.02.2026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23.12.2024 13:49:39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92" w:hanging="792"/>
        <w:tabs>
          <w:tab w:val="num" w:pos="432" w:leader="none"/>
        </w:tabs>
      </w:p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Liberation Serif" w:cs="Liberation Serif"/>
        <w:sz w:val="18"/>
        <w:szCs w:val="18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pPr>
      <w:spacing w:after="0" w:line="240" w:lineRule="auto"/>
    </w:pPr>
  </w:style>
  <w:style w:type="character" w:styleId="620">
    <w:name w:val="footnote reference"/>
    <w:semiHidden/>
    <w:unhideWhenUsed/>
    <w:rPr>
      <w:vertAlign w:val="superscript"/>
    </w:rPr>
  </w:style>
  <w:style w:type="paragraph" w:styleId="621" w:customStyle="1">
    <w:name w:val="P-Style"/>
    <w:basedOn w:val="619"/>
    <w:pPr>
      <w:jc w:val="both"/>
      <w:keepLines/>
      <w:spacing w:after="96"/>
    </w:pPr>
  </w:style>
  <w:style w:type="table" w:styleId="622" w:customStyle="1">
    <w:name w:val="style4808"/>
    <w:uiPriority w:val="99"/>
    <w:tblPr>
      <w:tblW w:w="0" w:type="auto"/>
      <w:tblBorders>
        <w:top w:val="single" w:color="000000" w:sz="1" w:space="0"/>
        <w:left w:val="single" w:color="000000" w:sz="1" w:space="0"/>
        <w:bottom w:val="single" w:color="000000" w:sz="1" w:space="0"/>
        <w:right w:val="single" w:color="000000" w:sz="1" w:space="0"/>
        <w:insideH w:val="single" w:color="000000" w:sz="1" w:space="0"/>
        <w:insideV w:val="single" w:color="000000" w:sz="1" w:space="0"/>
      </w:tblBorders>
      <w:tblLayout w:type="autofit"/>
      <w:tblCellMar>
        <w:left w:w="25" w:type="dxa"/>
        <w:top w:w="25" w:type="dxa"/>
        <w:right w:w="25" w:type="dxa"/>
        <w:bottom w:w="25" w:type="dxa"/>
      </w:tblCellMar>
    </w:tblPr>
  </w:style>
  <w:style w:type="table" w:styleId="623" w:customStyle="1">
    <w:name w:val="style48797"/>
    <w:uiPriority w:val="99"/>
    <w:tblPr>
      <w:tblW w:w="0" w:type="auto"/>
      <w:tblBorders>
        <w:top w:val="single" w:color="000000" w:sz="1" w:space="0"/>
        <w:left w:val="single" w:color="000000" w:sz="1" w:space="0"/>
        <w:bottom w:val="single" w:color="000000" w:sz="1" w:space="0"/>
        <w:right w:val="single" w:color="000000" w:sz="1" w:space="0"/>
        <w:insideH w:val="single" w:color="000000" w:sz="1" w:space="0"/>
        <w:insideV w:val="single" w:color="000000" w:sz="1" w:space="0"/>
      </w:tblBorders>
      <w:tblLayout w:type="autofit"/>
      <w:tblCellMar>
        <w:left w:w="25" w:type="dxa"/>
        <w:top w:w="25" w:type="dxa"/>
        <w:right w:w="25" w:type="dxa"/>
        <w:bottom w:w="25" w:type="dxa"/>
      </w:tblCellMar>
    </w:tblPr>
  </w:style>
  <w:style w:type="table" w:styleId="624" w:customStyle="1">
    <w:name w:val="style24619"/>
    <w:uiPriority w:val="99"/>
    <w:tblPr>
      <w:tblW w:w="0" w:type="auto"/>
      <w:tblBorders>
        <w:top w:val="single" w:color="000000" w:sz="1" w:space="0"/>
        <w:left w:val="single" w:color="000000" w:sz="1" w:space="0"/>
        <w:bottom w:val="single" w:color="000000" w:sz="1" w:space="0"/>
        <w:right w:val="single" w:color="000000" w:sz="1" w:space="0"/>
        <w:insideH w:val="single" w:color="000000" w:sz="1" w:space="0"/>
        <w:insideV w:val="single" w:color="000000" w:sz="1" w:space="0"/>
      </w:tblBorders>
      <w:tblLayout w:type="autofit"/>
      <w:tblCellMar>
        <w:left w:w="25" w:type="dxa"/>
        <w:top w:w="25" w:type="dxa"/>
        <w:right w:w="25" w:type="dxa"/>
        <w:bottom w:w="25" w:type="dxa"/>
      </w:tblCellMar>
    </w:tblPr>
  </w:style>
  <w:style w:type="character" w:styleId="1146" w:default="1">
    <w:name w:val="Default Paragraph Font"/>
    <w:uiPriority w:val="1"/>
    <w:semiHidden/>
    <w:unhideWhenUsed/>
  </w:style>
  <w:style w:type="numbering" w:styleId="1147" w:default="1">
    <w:name w:val="No List"/>
    <w:uiPriority w:val="99"/>
    <w:semiHidden/>
    <w:unhideWhenUsed/>
  </w:style>
  <w:style w:type="table" w:styleId="11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</cp:revision>
  <dcterms:created xsi:type="dcterms:W3CDTF">2024-12-23T05:03:34Z</dcterms:created>
  <dcterms:modified xsi:type="dcterms:W3CDTF">2024-12-23T05:04:21Z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